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神經針灸治療研究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542" w:firstLineChars="300"/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澳台港中醫師聯合促進會靈神經針灸治療研究專業委員會第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,及加入神經針灸治療研究專業委員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神經針灸治療研究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3253" w:firstLineChars="900"/>
        <w:rPr>
          <w:rFonts w:hint="default" w:asciiTheme="minorEastAsia" w:hAnsiTheme="minorEastAsia" w:eastAsiaTheme="minorEastAsia" w:cstheme="minorEastAsia"/>
          <w:b/>
          <w:sz w:val="30"/>
          <w:szCs w:val="30"/>
          <w:lang w:val="en-US" w:eastAsia="zh-TW"/>
        </w:rPr>
      </w:pP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神經針灸治療研究專業委員會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4CB181C"/>
    <w:rsid w:val="07B71F0F"/>
    <w:rsid w:val="083D0A81"/>
    <w:rsid w:val="0AED2721"/>
    <w:rsid w:val="0D303AC4"/>
    <w:rsid w:val="0D926575"/>
    <w:rsid w:val="0F23647F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9BD4BF8"/>
    <w:rsid w:val="1A233DE9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2021-02-01T06:39:06Z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